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ind w:left="7080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1957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Братусь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Ирины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3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Братусь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>ый срок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по налогу на прибыль организаций за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Налоговая декларация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 на прибыль организаций за 9 месяцев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Братусь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Братусь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Братусь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55032421800084400002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справка о несвоевременном представлении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Братусь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ст.2.4 КоАП РФ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Братусь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Ирину Александровну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ч.1 ст. 15.6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9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</w:t>
      </w:r>
      <w:r>
        <w:rPr>
          <w:rFonts w:ascii="Times New Roman" w:eastAsia="Times New Roman" w:hAnsi="Times New Roman" w:cs="Times New Roman"/>
          <w:sz w:val="28"/>
          <w:szCs w:val="28"/>
        </w:rPr>
        <w:t>ачения Сургута в течение 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2rplc-30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1957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0412365400575019572415166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0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OrganizationNamegrp-23rplc-11">
    <w:name w:val="cat-OrganizationName grp-2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OrganizationNamegrp-23rplc-15">
    <w:name w:val="cat-OrganizationName grp-23 rplc-15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Sumgrp-19rplc-27">
    <w:name w:val="cat-Sum grp-19 rplc-27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4rplc-39">
    <w:name w:val="cat-Address grp-4 rplc-39"/>
    <w:basedOn w:val="DefaultParagraphFont"/>
  </w:style>
  <w:style w:type="character" w:customStyle="1" w:styleId="cat-SumInWordsgrp-20rplc-40">
    <w:name w:val="cat-SumInWords grp-20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